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pacing w:after="0" w:before="320" w:line="240" w:lineRule="auto"/>
        <w:jc w:val="center"/>
        <w:rPr>
          <w:rFonts w:ascii="Times New Roman" w:cs="Times New Roman" w:eastAsia="Times New Roman" w:hAnsi="Times New Roman"/>
          <w:b w:val="1"/>
          <w:sz w:val="18"/>
          <w:szCs w:val="18"/>
        </w:rPr>
      </w:pPr>
      <w:bookmarkStart w:colFirst="0" w:colLast="0" w:name="_2gazcsgmxkub" w:id="0"/>
      <w:bookmarkEnd w:id="0"/>
      <w:r w:rsidDel="00000000" w:rsidR="00000000" w:rsidRPr="00000000">
        <w:rPr>
          <w:rFonts w:ascii="Times New Roman" w:cs="Times New Roman" w:eastAsia="Times New Roman" w:hAnsi="Times New Roman"/>
          <w:b w:val="1"/>
          <w:sz w:val="80"/>
          <w:szCs w:val="80"/>
          <w:rtl w:val="0"/>
        </w:rPr>
        <w:t xml:space="preserve"> Indian Cars</w:t>
      </w:r>
      <w:r w:rsidDel="00000000" w:rsidR="00000000" w:rsidRPr="00000000">
        <w:rPr>
          <w:rFonts w:ascii="Times New Roman" w:cs="Times New Roman" w:eastAsia="Times New Roman" w:hAnsi="Times New Roman"/>
          <w:b w:val="1"/>
          <w:sz w:val="74"/>
          <w:szCs w:val="74"/>
          <w:rtl w:val="0"/>
        </w:rPr>
        <w:t xml:space="preserve">                           Data</w:t>
      </w:r>
      <w:r w:rsidDel="00000000" w:rsidR="00000000" w:rsidRPr="00000000">
        <w:rPr>
          <w:rFonts w:ascii="Times New Roman" w:cs="Times New Roman" w:eastAsia="Times New Roman" w:hAnsi="Times New Roman"/>
          <w:b w:val="1"/>
          <w:sz w:val="80"/>
          <w:szCs w:val="80"/>
          <w:rtl w:val="0"/>
        </w:rPr>
        <w:t xml:space="preserve"> </w:t>
      </w:r>
      <w:r w:rsidDel="00000000" w:rsidR="00000000" w:rsidRPr="00000000">
        <w:rPr>
          <w:rFonts w:ascii="Times New Roman" w:cs="Times New Roman" w:eastAsia="Times New Roman" w:hAnsi="Times New Roman"/>
          <w:b w:val="1"/>
          <w:sz w:val="74"/>
          <w:szCs w:val="74"/>
          <w:rtl w:val="0"/>
        </w:rPr>
        <w:t xml:space="preserve">Analysis and Visualization</w:t>
      </w:r>
      <w:r w:rsidDel="00000000" w:rsidR="00000000" w:rsidRPr="00000000">
        <w:rPr>
          <w:rtl w:val="0"/>
        </w:rPr>
      </w:r>
    </w:p>
    <w:p w:rsidR="00000000" w:rsidDel="00000000" w:rsidP="00000000" w:rsidRDefault="00000000" w:rsidRPr="00000000" w14:paraId="00000002">
      <w:pPr>
        <w:pStyle w:val="Heading1"/>
        <w:widowControl w:val="0"/>
        <w:spacing w:after="0" w:before="480" w:line="312" w:lineRule="auto"/>
        <w:rPr>
          <w:b w:val="1"/>
          <w:sz w:val="36"/>
          <w:szCs w:val="36"/>
        </w:rPr>
      </w:pPr>
      <w:bookmarkStart w:colFirst="0" w:colLast="0" w:name="_au51mny0sx6" w:id="1"/>
      <w:bookmarkEnd w:id="1"/>
      <w:r w:rsidDel="00000000" w:rsidR="00000000" w:rsidRPr="00000000">
        <w:rPr>
          <w:b w:val="1"/>
          <w:sz w:val="36"/>
          <w:szCs w:val="36"/>
          <w:rtl w:val="0"/>
        </w:rPr>
        <w:t xml:space="preserve">B</w:t>
      </w:r>
      <w:r w:rsidDel="00000000" w:rsidR="00000000" w:rsidRPr="00000000">
        <w:rPr>
          <w:b w:val="1"/>
          <w:sz w:val="36"/>
          <w:szCs w:val="36"/>
          <w:rtl w:val="0"/>
        </w:rPr>
        <w:t xml:space="preserve">ivariate Analysis:</w:t>
      </w:r>
    </w:p>
    <w:p w:rsidR="00000000" w:rsidDel="00000000" w:rsidP="00000000" w:rsidRDefault="00000000" w:rsidRPr="00000000" w14:paraId="00000003">
      <w:pPr>
        <w:spacing w:after="120" w:before="120" w:line="360" w:lineRule="auto"/>
        <w:jc w:val="both"/>
        <w:rPr>
          <w:sz w:val="28"/>
          <w:szCs w:val="28"/>
        </w:rPr>
      </w:pPr>
      <w:r w:rsidDel="00000000" w:rsidR="00000000" w:rsidRPr="00000000">
        <w:rPr>
          <w:color w:val="374151"/>
          <w:sz w:val="26"/>
          <w:szCs w:val="26"/>
          <w:rtl w:val="0"/>
        </w:rPr>
        <w:t xml:space="preserve">In scrutinizing the Indian car sales dataset through univariate analysis, a deep dive into its 141 columns unraveled pivotal insights. The surge in sales, exceeding 3.34 Lakh passenger cars in May 2023, marked a notable 13% uptick from the previous year. The dominance of the Top 25 Selling Cars, comprising over 75% of April 2023 sales, highlighted key market contributors. Employing summary statistics, histograms, and box plots, we dissected numerical and categorical variables, shedding light on the distribution of monthly sales, pricing dynamics, and fuel preferences. Identification of top-selling cars, manufacturers, and exploration of yearly sales trends enriched our understanding of market nuances. This univariate analysis paves the way for a nuanced bivariate examination, aiming to uncover intricate relationships within the dataset.</w:t>
      </w:r>
      <w:r w:rsidDel="00000000" w:rsidR="00000000" w:rsidRPr="00000000">
        <w:rPr>
          <w:rtl w:val="0"/>
        </w:rPr>
      </w:r>
    </w:p>
    <w:p w:rsidR="00000000" w:rsidDel="00000000" w:rsidP="00000000" w:rsidRDefault="00000000" w:rsidRPr="00000000" w14:paraId="00000004">
      <w:pPr>
        <w:pStyle w:val="Heading1"/>
        <w:widowControl w:val="0"/>
        <w:spacing w:after="0" w:before="480" w:line="312" w:lineRule="auto"/>
        <w:rPr>
          <w:sz w:val="24"/>
          <w:szCs w:val="24"/>
        </w:rPr>
      </w:pPr>
      <w:bookmarkStart w:colFirst="0" w:colLast="0" w:name="_3at9u9s4e0vp" w:id="2"/>
      <w:bookmarkEnd w:id="2"/>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3340100"/>
            <wp:effectExtent b="0" l="0" r="0" t="0"/>
            <wp:docPr id="31"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0"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2"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6"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2"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4"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9"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5"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3"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7"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8"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7"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5"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4"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5"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2"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0"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9"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3"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4"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0"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5"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6"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8"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7"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1"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image" Target="media/image28.png"/><Relationship Id="rId22" Type="http://schemas.openxmlformats.org/officeDocument/2006/relationships/image" Target="media/image7.png"/><Relationship Id="rId21" Type="http://schemas.openxmlformats.org/officeDocument/2006/relationships/image" Target="media/image10.png"/><Relationship Id="rId24" Type="http://schemas.openxmlformats.org/officeDocument/2006/relationships/image" Target="media/image27.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8.png"/><Relationship Id="rId25" Type="http://schemas.openxmlformats.org/officeDocument/2006/relationships/image" Target="media/image5.png"/><Relationship Id="rId28" Type="http://schemas.openxmlformats.org/officeDocument/2006/relationships/image" Target="media/image29.png"/><Relationship Id="rId27"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26.png"/><Relationship Id="rId7" Type="http://schemas.openxmlformats.org/officeDocument/2006/relationships/image" Target="media/image12.png"/><Relationship Id="rId8" Type="http://schemas.openxmlformats.org/officeDocument/2006/relationships/image" Target="media/image3.png"/><Relationship Id="rId31" Type="http://schemas.openxmlformats.org/officeDocument/2006/relationships/image" Target="media/image31.png"/><Relationship Id="rId30" Type="http://schemas.openxmlformats.org/officeDocument/2006/relationships/image" Target="media/image11.png"/><Relationship Id="rId11" Type="http://schemas.openxmlformats.org/officeDocument/2006/relationships/image" Target="media/image14.png"/><Relationship Id="rId33" Type="http://schemas.openxmlformats.org/officeDocument/2006/relationships/image" Target="media/image23.png"/><Relationship Id="rId10" Type="http://schemas.openxmlformats.org/officeDocument/2006/relationships/image" Target="media/image32.png"/><Relationship Id="rId32" Type="http://schemas.openxmlformats.org/officeDocument/2006/relationships/image" Target="media/image21.png"/><Relationship Id="rId13" Type="http://schemas.openxmlformats.org/officeDocument/2006/relationships/image" Target="media/image35.png"/><Relationship Id="rId35" Type="http://schemas.openxmlformats.org/officeDocument/2006/relationships/image" Target="media/image13.png"/><Relationship Id="rId12" Type="http://schemas.openxmlformats.org/officeDocument/2006/relationships/image" Target="media/image22.png"/><Relationship Id="rId34" Type="http://schemas.openxmlformats.org/officeDocument/2006/relationships/image" Target="media/image16.png"/><Relationship Id="rId15" Type="http://schemas.openxmlformats.org/officeDocument/2006/relationships/image" Target="media/image34.png"/><Relationship Id="rId37" Type="http://schemas.openxmlformats.org/officeDocument/2006/relationships/image" Target="media/image17.png"/><Relationship Id="rId14" Type="http://schemas.openxmlformats.org/officeDocument/2006/relationships/image" Target="media/image9.png"/><Relationship Id="rId36" Type="http://schemas.openxmlformats.org/officeDocument/2006/relationships/image" Target="media/image2.png"/><Relationship Id="rId17" Type="http://schemas.openxmlformats.org/officeDocument/2006/relationships/image" Target="media/image4.png"/><Relationship Id="rId39" Type="http://schemas.openxmlformats.org/officeDocument/2006/relationships/image" Target="media/image15.png"/><Relationship Id="rId16" Type="http://schemas.openxmlformats.org/officeDocument/2006/relationships/image" Target="media/image20.png"/><Relationship Id="rId38" Type="http://schemas.openxmlformats.org/officeDocument/2006/relationships/image" Target="media/image24.png"/><Relationship Id="rId19" Type="http://schemas.openxmlformats.org/officeDocument/2006/relationships/image" Target="media/image6.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